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83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  <w:p w:rsidR="00DC16A6" w:rsidRPr="006C346F" w:rsidRDefault="00DC16A6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58F" w:rsidRPr="00F5258F" w:rsidRDefault="00DE01ED" w:rsidP="00F5258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FF5A98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 г. са в размер на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620 евро от внесени суми за допълнителни часове за катерогия В отчетени по §§ 2404 и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евро</w:t>
            </w:r>
            <w:r w:rsidR="006C346F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A6CCC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дарение от СК по джудо Аякс, отчетени по §§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4501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0110B4" w:rsidRPr="001B2F7B" w:rsidRDefault="00F5258F" w:rsidP="001B2F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Внесен е данък върху приходите от стопанска дейност за 2025 г. в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размер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 евро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отчетен по §§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3702 със знак -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337CDC" w:rsidRPr="00B14750" w:rsidRDefault="00337CDC" w:rsidP="00337C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Субсидията от община Куклен към 3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.2026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отразена по §§6109. Сумата е в размер на </w:t>
            </w:r>
            <w:r w:rsidR="00026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322408</w:t>
            </w:r>
            <w:r w:rsidR="00F52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евро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2025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55159 евро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включително в размер </w:t>
            </w:r>
            <w:r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246253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евро;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Трансфер за транспорт ученици по ЗПУО в размер на 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24555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евро;</w:t>
            </w:r>
          </w:p>
          <w:p w:rsidR="007C3EBC" w:rsidRDefault="00F5258F" w:rsidP="00F5258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Възстановена сума от трансфер за транспорт ученици по ЗПУО от 2025 г. в размер на 3559 евро.</w:t>
            </w:r>
          </w:p>
          <w:p w:rsidR="00F5258F" w:rsidRPr="00F5258F" w:rsidRDefault="00F5258F" w:rsidP="00F5258F">
            <w:pPr>
              <w:pStyle w:val="ListParagraph"/>
              <w:spacing w:after="0" w:line="240" w:lineRule="auto"/>
              <w:ind w:left="1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C3EBC" w:rsidRPr="000E471F" w:rsidRDefault="000C40AD" w:rsidP="007C3EBC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Разполагаемо салдо по бюджетната банкова сметка</w:t>
            </w:r>
            <w:r w:rsidR="007C3EBC" w:rsidRP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026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към 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.0</w:t>
            </w:r>
            <w:r w:rsidR="00026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.2026</w:t>
            </w:r>
            <w:r w:rsidR="007C3EBC" w:rsidRP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г. е в размер на </w:t>
            </w:r>
            <w:r w:rsidR="00026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127860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евро</w:t>
            </w:r>
            <w:r w:rsid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  <w:p w:rsidR="00D767A8" w:rsidRDefault="00D767A8" w:rsidP="00D767A8">
            <w:pPr>
              <w:pStyle w:val="ListParagraph"/>
              <w:spacing w:after="0" w:line="240" w:lineRule="auto"/>
              <w:ind w:left="1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C16A6" w:rsidRPr="00D767A8" w:rsidRDefault="00DC16A6" w:rsidP="00D767A8">
            <w:pPr>
              <w:pStyle w:val="ListParagraph"/>
              <w:spacing w:after="0" w:line="240" w:lineRule="auto"/>
              <w:ind w:left="1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4827" w:rsidRDefault="00815190" w:rsidP="0081519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 извънбюджетната банкова смет</w:t>
            </w:r>
            <w:r w:rsid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 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Проекти от ЕС – КСФ към 30.06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0C40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 размер на 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1303</w:t>
            </w:r>
            <w:r w:rsidR="000C40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евро</w:t>
            </w:r>
            <w:r w:rsid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които:</w:t>
            </w:r>
          </w:p>
          <w:p w:rsidR="00815190" w:rsidRDefault="005F4827" w:rsidP="005F48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проект „Модернизация на ПОО“ в размер на </w:t>
            </w:r>
            <w:r w:rsidR="00E8776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1152</w:t>
            </w:r>
            <w:r w:rsidR="000C40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евро</w:t>
            </w:r>
          </w:p>
          <w:p w:rsidR="005F4827" w:rsidRDefault="005F4827" w:rsidP="005F48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проект „Изграждане на СТЕМ център“ в размер на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C40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 евро</w:t>
            </w:r>
          </w:p>
          <w:p w:rsidR="00026BB8" w:rsidRDefault="00026BB8" w:rsidP="005F48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проект „Образователни маршрути в България“ в размер на 151 евро</w:t>
            </w:r>
          </w:p>
          <w:p w:rsidR="009F56A3" w:rsidRDefault="009F56A3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F56A3" w:rsidRDefault="005F4827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Салдото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набирателната</w:t>
            </w: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банкова сметка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чужди средства</w:t>
            </w:r>
            <w:r w:rsidR="00026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към 30.06</w:t>
            </w:r>
            <w:r w:rsidR="00E8776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.2026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</w:t>
            </w:r>
          </w:p>
          <w:p w:rsidR="005F4827" w:rsidRPr="005F4827" w:rsidRDefault="005F4827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размер на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1783 евро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50%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гаранция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А1 България ЕАД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договор по проект „Изграждане на СТЕМ център“.</w:t>
            </w:r>
          </w:p>
          <w:p w:rsidR="00815190" w:rsidRPr="0072288C" w:rsidRDefault="00815190" w:rsidP="00C664F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</w:t>
            </w:r>
            <w:r w:rsidR="000E47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 на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55159 евро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2867 евро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23582 евро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занимания по интереси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11757 евро</w:t>
            </w:r>
          </w:p>
          <w:p w:rsidR="009C6799" w:rsidRPr="0062418E" w:rsidRDefault="00422636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безплатни учебници</w:t>
            </w:r>
            <w:r w:rsidR="009C6799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учениците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1078 евро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946 евро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проект Подкрепа за успех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2681 евро</w:t>
            </w:r>
          </w:p>
          <w:p w:rsidR="009C6799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проект Равен достъп до образование в условията на кризи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199 евро</w:t>
            </w:r>
          </w:p>
          <w:p w:rsidR="002F35FB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транспорт на педагогически специалисти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304 евро</w:t>
            </w:r>
          </w:p>
          <w:p w:rsidR="00907204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физическо възпитание и спорт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377 евро</w:t>
            </w:r>
          </w:p>
          <w:p w:rsidR="00DB3303" w:rsidRPr="00DB3303" w:rsidRDefault="00DB3303" w:rsidP="00DB3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трансп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орт на ученици по ЗПУО 3559 евро</w:t>
            </w:r>
          </w:p>
          <w:p w:rsidR="00DC16A6" w:rsidRPr="00DC16A6" w:rsidRDefault="009C6799" w:rsidP="006547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7809 евро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303345" w:rsidRPr="00BD64A3" w:rsidRDefault="00B8067E" w:rsidP="00DC16A6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  <w:p w:rsidR="00DC16A6" w:rsidRPr="00437ABF" w:rsidRDefault="00DC16A6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A15CCB">
        <w:rPr>
          <w:rFonts w:ascii="Times New Roman" w:hAnsi="Times New Roman" w:cs="Times New Roman"/>
          <w:sz w:val="24"/>
          <w:szCs w:val="24"/>
        </w:rPr>
        <w:t xml:space="preserve"> </w:t>
      </w:r>
      <w:r w:rsidR="008B65E7">
        <w:rPr>
          <w:rFonts w:ascii="Times New Roman" w:hAnsi="Times New Roman" w:cs="Times New Roman"/>
          <w:sz w:val="24"/>
          <w:szCs w:val="24"/>
        </w:rPr>
        <w:t>80896 евро: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BB8">
        <w:rPr>
          <w:rFonts w:ascii="Times New Roman" w:hAnsi="Times New Roman" w:cs="Times New Roman"/>
          <w:b/>
          <w:sz w:val="24"/>
          <w:szCs w:val="24"/>
        </w:rPr>
        <w:t>178324</w:t>
      </w:r>
      <w:r w:rsidR="009C0496">
        <w:rPr>
          <w:rFonts w:ascii="Times New Roman" w:hAnsi="Times New Roman" w:cs="Times New Roman"/>
          <w:b/>
          <w:sz w:val="24"/>
          <w:szCs w:val="24"/>
        </w:rPr>
        <w:t xml:space="preserve"> евро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 w:rsidR="00080BB8">
        <w:rPr>
          <w:rFonts w:ascii="Times New Roman" w:hAnsi="Times New Roman" w:cs="Times New Roman"/>
          <w:sz w:val="24"/>
          <w:szCs w:val="24"/>
        </w:rPr>
        <w:t xml:space="preserve"> </w:t>
      </w:r>
      <w:r w:rsidR="00080BB8" w:rsidRPr="00080BB8">
        <w:rPr>
          <w:rFonts w:ascii="Times New Roman" w:hAnsi="Times New Roman" w:cs="Times New Roman"/>
          <w:b/>
          <w:sz w:val="24"/>
          <w:szCs w:val="24"/>
        </w:rPr>
        <w:t>120423</w:t>
      </w:r>
      <w:r w:rsidR="009C0496">
        <w:rPr>
          <w:rFonts w:ascii="Times New Roman" w:hAnsi="Times New Roman" w:cs="Times New Roman"/>
          <w:b/>
          <w:sz w:val="24"/>
          <w:szCs w:val="24"/>
        </w:rPr>
        <w:t xml:space="preserve"> евро</w:t>
      </w:r>
      <w:r w:rsidR="00F25E4F">
        <w:rPr>
          <w:rFonts w:ascii="Times New Roman" w:hAnsi="Times New Roman" w:cs="Times New Roman"/>
          <w:sz w:val="24"/>
          <w:szCs w:val="24"/>
        </w:rPr>
        <w:t>;</w:t>
      </w:r>
    </w:p>
    <w:p w:rsidR="00F25E4F" w:rsidRPr="009C0496" w:rsidRDefault="00F25E4F" w:rsidP="006F1E9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0496"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080BB8">
        <w:rPr>
          <w:rFonts w:ascii="Times New Roman" w:hAnsi="Times New Roman" w:cs="Times New Roman"/>
          <w:b/>
          <w:sz w:val="24"/>
          <w:szCs w:val="24"/>
        </w:rPr>
        <w:t>4797</w:t>
      </w:r>
      <w:r w:rsidR="009C0496">
        <w:rPr>
          <w:rFonts w:ascii="Times New Roman" w:hAnsi="Times New Roman" w:cs="Times New Roman"/>
          <w:b/>
          <w:sz w:val="24"/>
          <w:szCs w:val="24"/>
        </w:rPr>
        <w:t xml:space="preserve"> евро</w:t>
      </w:r>
      <w:r w:rsidRPr="009C0496">
        <w:rPr>
          <w:rFonts w:ascii="Times New Roman" w:hAnsi="Times New Roman" w:cs="Times New Roman"/>
          <w:sz w:val="24"/>
          <w:szCs w:val="24"/>
        </w:rPr>
        <w:t xml:space="preserve">, в т.ч. </w:t>
      </w:r>
      <w:r w:rsidR="00354C24">
        <w:rPr>
          <w:rFonts w:ascii="Times New Roman" w:hAnsi="Times New Roman" w:cs="Times New Roman"/>
          <w:sz w:val="24"/>
          <w:szCs w:val="24"/>
          <w:lang w:val="en-US"/>
        </w:rPr>
        <w:t xml:space="preserve">2700 </w:t>
      </w:r>
      <w:r w:rsidR="00354C24">
        <w:rPr>
          <w:rFonts w:ascii="Times New Roman" w:hAnsi="Times New Roman" w:cs="Times New Roman"/>
          <w:sz w:val="24"/>
          <w:szCs w:val="24"/>
        </w:rPr>
        <w:t>евро</w:t>
      </w:r>
      <w:r w:rsidR="008A50AF" w:rsidRPr="009C0496">
        <w:rPr>
          <w:rFonts w:ascii="Times New Roman" w:hAnsi="Times New Roman" w:cs="Times New Roman"/>
          <w:sz w:val="24"/>
          <w:szCs w:val="24"/>
        </w:rPr>
        <w:t xml:space="preserve"> за </w:t>
      </w:r>
      <w:r w:rsidR="00102DCD" w:rsidRPr="009C0496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 w:rsidRPr="009C0496">
        <w:rPr>
          <w:rFonts w:ascii="Times New Roman" w:hAnsi="Times New Roman" w:cs="Times New Roman"/>
          <w:sz w:val="24"/>
          <w:szCs w:val="24"/>
        </w:rPr>
        <w:t>облекло</w:t>
      </w:r>
      <w:r w:rsidRPr="009C0496">
        <w:rPr>
          <w:rFonts w:ascii="Times New Roman" w:hAnsi="Times New Roman" w:cs="Times New Roman"/>
          <w:sz w:val="24"/>
          <w:szCs w:val="24"/>
        </w:rPr>
        <w:t>;</w:t>
      </w:r>
    </w:p>
    <w:p w:rsidR="00F25E4F" w:rsidRPr="00124F18" w:rsidRDefault="00F25E4F" w:rsidP="0013346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F18"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080BB8">
        <w:rPr>
          <w:rFonts w:ascii="Times New Roman" w:hAnsi="Times New Roman" w:cs="Times New Roman"/>
          <w:b/>
          <w:sz w:val="24"/>
          <w:szCs w:val="24"/>
        </w:rPr>
        <w:t>26876</w:t>
      </w:r>
      <w:r w:rsidR="00354C24">
        <w:rPr>
          <w:rFonts w:ascii="Times New Roman" w:hAnsi="Times New Roman" w:cs="Times New Roman"/>
          <w:b/>
          <w:sz w:val="24"/>
          <w:szCs w:val="24"/>
        </w:rPr>
        <w:t xml:space="preserve"> евро</w:t>
      </w:r>
      <w:r w:rsidRPr="00124F18">
        <w:rPr>
          <w:rFonts w:ascii="Times New Roman" w:hAnsi="Times New Roman" w:cs="Times New Roman"/>
          <w:sz w:val="24"/>
          <w:szCs w:val="24"/>
        </w:rPr>
        <w:t xml:space="preserve">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080BB8">
        <w:rPr>
          <w:rFonts w:ascii="Times New Roman" w:hAnsi="Times New Roman" w:cs="Times New Roman"/>
          <w:b/>
          <w:sz w:val="24"/>
          <w:szCs w:val="24"/>
        </w:rPr>
        <w:t>23553</w:t>
      </w:r>
      <w:r w:rsidR="00354C24">
        <w:rPr>
          <w:rFonts w:ascii="Times New Roman" w:hAnsi="Times New Roman" w:cs="Times New Roman"/>
          <w:b/>
          <w:sz w:val="24"/>
          <w:szCs w:val="24"/>
        </w:rPr>
        <w:t xml:space="preserve"> евро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276DCF" w:rsidRPr="00276DCF" w:rsidRDefault="00EA76F2" w:rsidP="0036462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24F18" w:rsidRPr="00276DCF">
        <w:rPr>
          <w:rFonts w:ascii="Times New Roman" w:hAnsi="Times New Roman" w:cs="Times New Roman"/>
          <w:sz w:val="24"/>
          <w:szCs w:val="24"/>
        </w:rPr>
        <w:t xml:space="preserve"> по § 1013 в размер на</w:t>
      </w:r>
      <w:r w:rsidR="00102DCD" w:rsidRP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354C24">
        <w:rPr>
          <w:rFonts w:ascii="Times New Roman" w:hAnsi="Times New Roman" w:cs="Times New Roman"/>
          <w:sz w:val="24"/>
          <w:szCs w:val="24"/>
        </w:rPr>
        <w:t>336 евро</w:t>
      </w:r>
      <w:r w:rsidR="00053716">
        <w:rPr>
          <w:rFonts w:ascii="Times New Roman" w:hAnsi="Times New Roman" w:cs="Times New Roman"/>
          <w:sz w:val="24"/>
          <w:szCs w:val="24"/>
        </w:rPr>
        <w:t xml:space="preserve"> </w:t>
      </w:r>
      <w:r w:rsidRPr="00276DCF">
        <w:rPr>
          <w:rFonts w:ascii="Times New Roman" w:hAnsi="Times New Roman" w:cs="Times New Roman"/>
          <w:sz w:val="24"/>
          <w:szCs w:val="24"/>
        </w:rPr>
        <w:t xml:space="preserve">за работно облекло на </w:t>
      </w:r>
      <w:r w:rsidR="008A50AF" w:rsidRPr="00276DC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 w:rsidR="000E34BF" w:rsidRP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354C24">
        <w:rPr>
          <w:rFonts w:ascii="Times New Roman" w:hAnsi="Times New Roman" w:cs="Times New Roman"/>
          <w:sz w:val="24"/>
          <w:szCs w:val="24"/>
        </w:rPr>
        <w:t>и</w:t>
      </w:r>
      <w:r w:rsidR="00053716">
        <w:rPr>
          <w:rFonts w:ascii="Times New Roman" w:hAnsi="Times New Roman" w:cs="Times New Roman"/>
          <w:sz w:val="24"/>
          <w:szCs w:val="24"/>
        </w:rPr>
        <w:t xml:space="preserve"> за </w:t>
      </w:r>
      <w:r w:rsidR="00354C24">
        <w:rPr>
          <w:rFonts w:ascii="Times New Roman" w:hAnsi="Times New Roman" w:cs="Times New Roman"/>
          <w:sz w:val="24"/>
          <w:szCs w:val="24"/>
        </w:rPr>
        <w:t xml:space="preserve">предпазно </w:t>
      </w:r>
      <w:r w:rsidR="00053716">
        <w:rPr>
          <w:rFonts w:ascii="Times New Roman" w:hAnsi="Times New Roman" w:cs="Times New Roman"/>
          <w:sz w:val="24"/>
          <w:szCs w:val="24"/>
        </w:rPr>
        <w:t xml:space="preserve">облекло </w:t>
      </w:r>
      <w:r w:rsidR="00354C24">
        <w:rPr>
          <w:rFonts w:ascii="Times New Roman" w:hAnsi="Times New Roman" w:cs="Times New Roman"/>
          <w:sz w:val="24"/>
          <w:szCs w:val="24"/>
        </w:rPr>
        <w:t>защитена специалност</w:t>
      </w:r>
      <w:r w:rsidR="00053716">
        <w:rPr>
          <w:rFonts w:ascii="Times New Roman" w:hAnsi="Times New Roman" w:cs="Times New Roman"/>
          <w:sz w:val="24"/>
          <w:szCs w:val="24"/>
        </w:rPr>
        <w:t>;</w:t>
      </w:r>
    </w:p>
    <w:p w:rsidR="00F25E4F" w:rsidRPr="00E74401" w:rsidRDefault="00F25E4F" w:rsidP="00E7440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080BB8">
        <w:rPr>
          <w:rFonts w:ascii="Times New Roman" w:hAnsi="Times New Roman" w:cs="Times New Roman"/>
          <w:sz w:val="24"/>
          <w:szCs w:val="24"/>
        </w:rPr>
        <w:t>2713</w:t>
      </w:r>
      <w:r w:rsidR="00354C24">
        <w:rPr>
          <w:rFonts w:ascii="Times New Roman" w:hAnsi="Times New Roman" w:cs="Times New Roman"/>
          <w:sz w:val="24"/>
          <w:szCs w:val="24"/>
        </w:rPr>
        <w:t xml:space="preserve"> евро</w:t>
      </w:r>
      <w:r w:rsidR="00080BB8">
        <w:rPr>
          <w:rFonts w:ascii="Times New Roman" w:hAnsi="Times New Roman" w:cs="Times New Roman"/>
          <w:sz w:val="24"/>
          <w:szCs w:val="24"/>
        </w:rPr>
        <w:t xml:space="preserve"> от които 1182 евро за табла за защитена специалност и 1531 евро за </w:t>
      </w:r>
      <w:r w:rsidRPr="0031295E">
        <w:rPr>
          <w:rFonts w:ascii="Times New Roman" w:hAnsi="Times New Roman" w:cs="Times New Roman"/>
          <w:sz w:val="24"/>
          <w:szCs w:val="24"/>
        </w:rPr>
        <w:t xml:space="preserve">почистващи </w:t>
      </w:r>
      <w:r w:rsidR="00080BB8">
        <w:rPr>
          <w:rFonts w:ascii="Times New Roman" w:hAnsi="Times New Roman" w:cs="Times New Roman"/>
          <w:sz w:val="24"/>
          <w:szCs w:val="24"/>
        </w:rPr>
        <w:t xml:space="preserve">и канцеларски </w:t>
      </w:r>
      <w:r w:rsidRPr="0031295E">
        <w:rPr>
          <w:rFonts w:ascii="Times New Roman" w:hAnsi="Times New Roman" w:cs="Times New Roman"/>
          <w:sz w:val="24"/>
          <w:szCs w:val="24"/>
        </w:rPr>
        <w:t>материали</w:t>
      </w:r>
      <w:r w:rsidR="00080BB8">
        <w:rPr>
          <w:rFonts w:ascii="Times New Roman" w:hAnsi="Times New Roman" w:cs="Times New Roman"/>
          <w:sz w:val="24"/>
          <w:szCs w:val="24"/>
        </w:rPr>
        <w:t>,</w:t>
      </w:r>
      <w:r w:rsidR="000C6B65">
        <w:rPr>
          <w:rFonts w:ascii="Times New Roman" w:hAnsi="Times New Roman" w:cs="Times New Roman"/>
          <w:sz w:val="24"/>
          <w:szCs w:val="24"/>
        </w:rPr>
        <w:t xml:space="preserve"> други материали</w:t>
      </w:r>
      <w:r w:rsidR="00354C24">
        <w:rPr>
          <w:rFonts w:ascii="Times New Roman" w:hAnsi="Times New Roman" w:cs="Times New Roman"/>
          <w:sz w:val="24"/>
          <w:szCs w:val="24"/>
        </w:rPr>
        <w:t xml:space="preserve"> за подръжка на училищна сграда</w:t>
      </w:r>
      <w:r w:rsidR="00080BB8">
        <w:rPr>
          <w:rFonts w:ascii="Times New Roman" w:hAnsi="Times New Roman" w:cs="Times New Roman"/>
          <w:sz w:val="24"/>
          <w:szCs w:val="24"/>
        </w:rPr>
        <w:t>.</w:t>
      </w:r>
    </w:p>
    <w:p w:rsidR="00F25E4F" w:rsidRPr="00CE2841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080BB8">
        <w:rPr>
          <w:rFonts w:ascii="Times New Roman" w:hAnsi="Times New Roman" w:cs="Times New Roman"/>
          <w:sz w:val="24"/>
          <w:szCs w:val="24"/>
        </w:rPr>
        <w:t>6087</w:t>
      </w:r>
      <w:r w:rsidR="00354C24">
        <w:rPr>
          <w:rFonts w:ascii="Times New Roman" w:hAnsi="Times New Roman" w:cs="Times New Roman"/>
          <w:sz w:val="24"/>
          <w:szCs w:val="24"/>
        </w:rPr>
        <w:t xml:space="preserve"> евро</w:t>
      </w:r>
      <w:r w:rsidRPr="00CE2841">
        <w:rPr>
          <w:rFonts w:ascii="Times New Roman" w:hAnsi="Times New Roman" w:cs="Times New Roman"/>
          <w:sz w:val="24"/>
          <w:szCs w:val="24"/>
        </w:rPr>
        <w:t xml:space="preserve"> /</w:t>
      </w:r>
      <w:r w:rsidR="00B367A9" w:rsidRPr="00CE2841">
        <w:rPr>
          <w:rFonts w:ascii="Times New Roman" w:hAnsi="Times New Roman" w:cs="Times New Roman"/>
          <w:sz w:val="24"/>
          <w:szCs w:val="24"/>
        </w:rPr>
        <w:t xml:space="preserve">бензин </w:t>
      </w:r>
      <w:r w:rsidR="00080BB8">
        <w:rPr>
          <w:rFonts w:ascii="Times New Roman" w:hAnsi="Times New Roman" w:cs="Times New Roman"/>
          <w:sz w:val="24"/>
          <w:szCs w:val="24"/>
        </w:rPr>
        <w:t>1460</w:t>
      </w:r>
      <w:r w:rsidR="00354C24">
        <w:rPr>
          <w:rFonts w:ascii="Times New Roman" w:hAnsi="Times New Roman" w:cs="Times New Roman"/>
          <w:sz w:val="24"/>
          <w:szCs w:val="24"/>
        </w:rPr>
        <w:t xml:space="preserve"> евро,</w:t>
      </w:r>
      <w:r w:rsidR="007F75F0">
        <w:rPr>
          <w:rFonts w:ascii="Times New Roman" w:hAnsi="Times New Roman" w:cs="Times New Roman"/>
          <w:sz w:val="24"/>
          <w:szCs w:val="24"/>
        </w:rPr>
        <w:t xml:space="preserve"> вода </w:t>
      </w:r>
      <w:r w:rsidR="000E5010">
        <w:rPr>
          <w:rFonts w:ascii="Times New Roman" w:hAnsi="Times New Roman" w:cs="Times New Roman"/>
          <w:sz w:val="24"/>
          <w:szCs w:val="24"/>
        </w:rPr>
        <w:t>100</w:t>
      </w:r>
      <w:r w:rsidR="00354C24">
        <w:rPr>
          <w:rFonts w:ascii="Times New Roman" w:hAnsi="Times New Roman" w:cs="Times New Roman"/>
          <w:sz w:val="24"/>
          <w:szCs w:val="24"/>
        </w:rPr>
        <w:t xml:space="preserve"> евро, 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ел. енергия </w:t>
      </w:r>
      <w:r w:rsidR="000E5010">
        <w:rPr>
          <w:rFonts w:ascii="Times New Roman" w:hAnsi="Times New Roman" w:cs="Times New Roman"/>
          <w:sz w:val="24"/>
          <w:szCs w:val="24"/>
        </w:rPr>
        <w:t>2835</w:t>
      </w:r>
      <w:r w:rsidR="00354C24">
        <w:rPr>
          <w:rFonts w:ascii="Times New Roman" w:hAnsi="Times New Roman" w:cs="Times New Roman"/>
          <w:sz w:val="24"/>
          <w:szCs w:val="24"/>
        </w:rPr>
        <w:t xml:space="preserve"> евро</w:t>
      </w:r>
      <w:r w:rsidR="006841F2">
        <w:rPr>
          <w:rFonts w:ascii="Times New Roman" w:hAnsi="Times New Roman" w:cs="Times New Roman"/>
          <w:sz w:val="24"/>
          <w:szCs w:val="24"/>
        </w:rPr>
        <w:t xml:space="preserve"> и въглища </w:t>
      </w:r>
      <w:r w:rsidR="00354C24">
        <w:rPr>
          <w:rFonts w:ascii="Times New Roman" w:hAnsi="Times New Roman" w:cs="Times New Roman"/>
          <w:sz w:val="24"/>
          <w:szCs w:val="24"/>
        </w:rPr>
        <w:t>1692 евро</w:t>
      </w:r>
      <w:r w:rsidR="0035440B" w:rsidRPr="00CE2841">
        <w:rPr>
          <w:rFonts w:ascii="Times New Roman" w:hAnsi="Times New Roman" w:cs="Times New Roman"/>
          <w:sz w:val="24"/>
          <w:szCs w:val="24"/>
        </w:rPr>
        <w:t>/</w:t>
      </w:r>
    </w:p>
    <w:p w:rsidR="005106D5" w:rsidRPr="00A81A7C" w:rsidRDefault="00CE284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0E5010">
        <w:rPr>
          <w:rFonts w:ascii="Times New Roman" w:hAnsi="Times New Roman" w:cs="Times New Roman"/>
          <w:sz w:val="24"/>
          <w:szCs w:val="24"/>
        </w:rPr>
        <w:t>14263</w:t>
      </w:r>
      <w:r w:rsidR="00354C24">
        <w:rPr>
          <w:rFonts w:ascii="Times New Roman" w:hAnsi="Times New Roman" w:cs="Times New Roman"/>
          <w:sz w:val="24"/>
          <w:szCs w:val="24"/>
        </w:rPr>
        <w:t xml:space="preserve"> евро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CD7B00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CD7B00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0E5010">
        <w:rPr>
          <w:rFonts w:ascii="Times New Roman" w:hAnsi="Times New Roman" w:cs="Times New Roman"/>
          <w:sz w:val="24"/>
          <w:szCs w:val="24"/>
        </w:rPr>
        <w:t>, договор з</w:t>
      </w:r>
      <w:r w:rsidR="00A81A7C">
        <w:rPr>
          <w:rFonts w:ascii="Times New Roman" w:hAnsi="Times New Roman" w:cs="Times New Roman"/>
          <w:sz w:val="24"/>
          <w:szCs w:val="24"/>
        </w:rPr>
        <w:t>а киберсигурност и наем принтер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0E5010">
        <w:rPr>
          <w:rFonts w:ascii="Times New Roman" w:hAnsi="Times New Roman" w:cs="Times New Roman"/>
          <w:sz w:val="24"/>
          <w:szCs w:val="24"/>
        </w:rPr>
        <w:t>2390</w:t>
      </w:r>
      <w:r w:rsidR="00AF7BF8">
        <w:rPr>
          <w:rFonts w:ascii="Times New Roman" w:hAnsi="Times New Roman" w:cs="Times New Roman"/>
          <w:sz w:val="24"/>
          <w:szCs w:val="24"/>
        </w:rPr>
        <w:t xml:space="preserve"> евро,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A6327F" w:rsidRPr="00CE2841">
        <w:rPr>
          <w:rFonts w:ascii="Times New Roman" w:hAnsi="Times New Roman" w:cs="Times New Roman"/>
          <w:sz w:val="24"/>
          <w:szCs w:val="24"/>
        </w:rPr>
        <w:t>ТРЗ програма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0E5010">
        <w:rPr>
          <w:rFonts w:ascii="Times New Roman" w:hAnsi="Times New Roman" w:cs="Times New Roman"/>
          <w:sz w:val="24"/>
          <w:szCs w:val="24"/>
        </w:rPr>
        <w:t>484</w:t>
      </w:r>
      <w:r w:rsidR="00AF7BF8">
        <w:rPr>
          <w:rFonts w:ascii="Times New Roman" w:hAnsi="Times New Roman" w:cs="Times New Roman"/>
          <w:sz w:val="24"/>
          <w:szCs w:val="24"/>
        </w:rPr>
        <w:t xml:space="preserve"> евро,</w:t>
      </w:r>
      <w:r w:rsidR="000261C5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D7B00">
        <w:rPr>
          <w:rFonts w:ascii="Times New Roman" w:hAnsi="Times New Roman" w:cs="Times New Roman"/>
          <w:sz w:val="24"/>
          <w:szCs w:val="24"/>
        </w:rPr>
        <w:t>СОТ</w:t>
      </w:r>
      <w:r w:rsidR="000F3E7B">
        <w:rPr>
          <w:rFonts w:ascii="Times New Roman" w:hAnsi="Times New Roman" w:cs="Times New Roman"/>
          <w:sz w:val="24"/>
          <w:szCs w:val="24"/>
        </w:rPr>
        <w:t xml:space="preserve"> </w:t>
      </w:r>
      <w:r w:rsidR="000E5010">
        <w:rPr>
          <w:rFonts w:ascii="Times New Roman" w:hAnsi="Times New Roman" w:cs="Times New Roman"/>
          <w:sz w:val="24"/>
          <w:szCs w:val="24"/>
        </w:rPr>
        <w:t>136</w:t>
      </w:r>
      <w:r w:rsidR="00AF7BF8">
        <w:rPr>
          <w:rFonts w:ascii="Times New Roman" w:hAnsi="Times New Roman" w:cs="Times New Roman"/>
          <w:sz w:val="24"/>
          <w:szCs w:val="24"/>
        </w:rPr>
        <w:t xml:space="preserve"> евро,</w:t>
      </w:r>
      <w:r w:rsidR="001A7589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транспорт учители </w:t>
      </w:r>
      <w:r w:rsidR="000E5010">
        <w:rPr>
          <w:rFonts w:ascii="Times New Roman" w:hAnsi="Times New Roman" w:cs="Times New Roman"/>
          <w:sz w:val="24"/>
          <w:szCs w:val="24"/>
        </w:rPr>
        <w:t>2878</w:t>
      </w:r>
      <w:r w:rsidR="00AF7BF8">
        <w:rPr>
          <w:rFonts w:ascii="Times New Roman" w:hAnsi="Times New Roman" w:cs="Times New Roman"/>
          <w:sz w:val="24"/>
          <w:szCs w:val="24"/>
        </w:rPr>
        <w:t xml:space="preserve"> евро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, транспорт ученици </w:t>
      </w:r>
      <w:r w:rsidR="000E5010">
        <w:rPr>
          <w:rFonts w:ascii="Times New Roman" w:hAnsi="Times New Roman" w:cs="Times New Roman"/>
          <w:sz w:val="24"/>
          <w:szCs w:val="24"/>
        </w:rPr>
        <w:t>1125</w:t>
      </w:r>
      <w:r w:rsidR="007C15DF">
        <w:rPr>
          <w:rFonts w:ascii="Times New Roman" w:hAnsi="Times New Roman" w:cs="Times New Roman"/>
          <w:sz w:val="24"/>
          <w:szCs w:val="24"/>
        </w:rPr>
        <w:t xml:space="preserve"> евро</w:t>
      </w:r>
      <w:r w:rsidR="000F3E7B">
        <w:rPr>
          <w:rFonts w:ascii="Times New Roman" w:hAnsi="Times New Roman" w:cs="Times New Roman"/>
          <w:sz w:val="24"/>
          <w:szCs w:val="24"/>
        </w:rPr>
        <w:t xml:space="preserve"> за сметка на гимназията</w:t>
      </w:r>
      <w:r w:rsidR="001A7589" w:rsidRPr="00CE2841">
        <w:rPr>
          <w:rFonts w:ascii="Times New Roman" w:hAnsi="Times New Roman" w:cs="Times New Roman"/>
          <w:sz w:val="24"/>
          <w:szCs w:val="24"/>
        </w:rPr>
        <w:t>,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25725C">
        <w:rPr>
          <w:rFonts w:ascii="Times New Roman" w:hAnsi="Times New Roman" w:cs="Times New Roman"/>
          <w:sz w:val="24"/>
          <w:szCs w:val="24"/>
        </w:rPr>
        <w:t xml:space="preserve">счетоводно обслужване </w:t>
      </w:r>
      <w:r w:rsidR="000E5010">
        <w:rPr>
          <w:rFonts w:ascii="Times New Roman" w:hAnsi="Times New Roman" w:cs="Times New Roman"/>
          <w:sz w:val="24"/>
          <w:szCs w:val="24"/>
        </w:rPr>
        <w:t>6202</w:t>
      </w:r>
      <w:r w:rsidR="00AF7BF8">
        <w:rPr>
          <w:rFonts w:ascii="Times New Roman" w:hAnsi="Times New Roman" w:cs="Times New Roman"/>
          <w:sz w:val="24"/>
          <w:szCs w:val="24"/>
        </w:rPr>
        <w:t xml:space="preserve"> евро</w:t>
      </w:r>
      <w:r w:rsidR="007C15DF">
        <w:rPr>
          <w:rFonts w:ascii="Times New Roman" w:hAnsi="Times New Roman" w:cs="Times New Roman"/>
          <w:sz w:val="24"/>
          <w:szCs w:val="24"/>
        </w:rPr>
        <w:t>, посещение на музей по Занимания по интереси</w:t>
      </w:r>
      <w:r w:rsidR="000E5010">
        <w:rPr>
          <w:rFonts w:ascii="Times New Roman" w:hAnsi="Times New Roman" w:cs="Times New Roman"/>
          <w:sz w:val="24"/>
          <w:szCs w:val="24"/>
        </w:rPr>
        <w:t xml:space="preserve"> и транспорт</w:t>
      </w:r>
      <w:r w:rsidR="007C15DF">
        <w:rPr>
          <w:rFonts w:ascii="Times New Roman" w:hAnsi="Times New Roman" w:cs="Times New Roman"/>
          <w:sz w:val="24"/>
          <w:szCs w:val="24"/>
        </w:rPr>
        <w:t xml:space="preserve"> </w:t>
      </w:r>
      <w:r w:rsidR="000E5010">
        <w:rPr>
          <w:rFonts w:ascii="Times New Roman" w:hAnsi="Times New Roman" w:cs="Times New Roman"/>
          <w:sz w:val="24"/>
          <w:szCs w:val="24"/>
        </w:rPr>
        <w:t>5</w:t>
      </w:r>
      <w:r w:rsidR="007C15DF">
        <w:rPr>
          <w:rFonts w:ascii="Times New Roman" w:hAnsi="Times New Roman" w:cs="Times New Roman"/>
          <w:sz w:val="24"/>
          <w:szCs w:val="24"/>
        </w:rPr>
        <w:t>24 евро</w:t>
      </w:r>
      <w:r w:rsidR="000E5010">
        <w:rPr>
          <w:rFonts w:ascii="Times New Roman" w:hAnsi="Times New Roman" w:cs="Times New Roman"/>
          <w:sz w:val="24"/>
          <w:szCs w:val="24"/>
        </w:rPr>
        <w:t>, СТМ 144 евро</w:t>
      </w:r>
      <w:r w:rsidR="007C15DF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 xml:space="preserve">и други </w:t>
      </w:r>
      <w:r w:rsidR="00A81A7C">
        <w:rPr>
          <w:rFonts w:ascii="Times New Roman" w:hAnsi="Times New Roman" w:cs="Times New Roman"/>
          <w:sz w:val="24"/>
          <w:szCs w:val="24"/>
        </w:rPr>
        <w:t>380</w:t>
      </w:r>
      <w:r w:rsidR="007C15DF">
        <w:rPr>
          <w:rFonts w:ascii="Times New Roman" w:hAnsi="Times New Roman" w:cs="Times New Roman"/>
          <w:sz w:val="24"/>
          <w:szCs w:val="24"/>
        </w:rPr>
        <w:t xml:space="preserve"> евро</w:t>
      </w:r>
      <w:r w:rsidR="0086601D" w:rsidRPr="00CE2841">
        <w:rPr>
          <w:rFonts w:ascii="Times New Roman" w:hAnsi="Times New Roman" w:cs="Times New Roman"/>
          <w:sz w:val="24"/>
          <w:szCs w:val="24"/>
        </w:rPr>
        <w:t>/</w:t>
      </w:r>
    </w:p>
    <w:p w:rsidR="00A81A7C" w:rsidRPr="006A1821" w:rsidRDefault="00A81A7C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командировки в страната за участие в НС „Млад фермер“ в размер на 128 евро</w:t>
      </w:r>
    </w:p>
    <w:p w:rsidR="00BB7BA1" w:rsidRPr="00A53B22" w:rsidRDefault="00642E43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застраховки </w:t>
      </w:r>
      <w:r w:rsidR="00A81A7C">
        <w:rPr>
          <w:rFonts w:ascii="Times New Roman" w:hAnsi="Times New Roman" w:cs="Times New Roman"/>
          <w:sz w:val="24"/>
          <w:szCs w:val="24"/>
        </w:rPr>
        <w:t>26</w:t>
      </w:r>
      <w:r w:rsidR="007C15DF">
        <w:rPr>
          <w:rFonts w:ascii="Times New Roman" w:hAnsi="Times New Roman" w:cs="Times New Roman"/>
          <w:sz w:val="24"/>
          <w:szCs w:val="24"/>
        </w:rPr>
        <w:t xml:space="preserve"> евро.</w:t>
      </w:r>
    </w:p>
    <w:p w:rsidR="005106D5" w:rsidRPr="00ED5876" w:rsidRDefault="007C15DF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 1901</w:t>
      </w:r>
      <w:r w:rsidR="005106D5">
        <w:rPr>
          <w:rFonts w:ascii="Times New Roman" w:hAnsi="Times New Roman" w:cs="Times New Roman"/>
          <w:sz w:val="24"/>
          <w:szCs w:val="24"/>
        </w:rPr>
        <w:t xml:space="preserve"> Данъци и такси </w:t>
      </w:r>
      <w:r>
        <w:rPr>
          <w:rFonts w:ascii="Times New Roman" w:hAnsi="Times New Roman" w:cs="Times New Roman"/>
          <w:b/>
          <w:sz w:val="24"/>
          <w:szCs w:val="24"/>
        </w:rPr>
        <w:t>50 евро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6A1821">
        <w:rPr>
          <w:rFonts w:ascii="Times New Roman" w:hAnsi="Times New Roman" w:cs="Times New Roman"/>
          <w:sz w:val="24"/>
          <w:szCs w:val="24"/>
        </w:rPr>
        <w:t>за винетка Шкода Фабия.</w:t>
      </w:r>
      <w:r w:rsidR="00BB7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876" w:rsidRPr="005106D5" w:rsidRDefault="00ED5876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1981 Платени общински данъци </w:t>
      </w:r>
      <w:r w:rsidR="007C15DF">
        <w:rPr>
          <w:rFonts w:ascii="Times New Roman" w:hAnsi="Times New Roman" w:cs="Times New Roman"/>
          <w:b/>
          <w:sz w:val="24"/>
          <w:szCs w:val="24"/>
        </w:rPr>
        <w:t>65 евро</w:t>
      </w:r>
      <w:r>
        <w:rPr>
          <w:rFonts w:ascii="Times New Roman" w:hAnsi="Times New Roman" w:cs="Times New Roman"/>
          <w:sz w:val="24"/>
          <w:szCs w:val="24"/>
        </w:rPr>
        <w:t xml:space="preserve"> за данък МПС. </w:t>
      </w:r>
    </w:p>
    <w:p w:rsidR="00A53B22" w:rsidRPr="007C15DF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A81A7C">
        <w:rPr>
          <w:rFonts w:ascii="Times New Roman" w:hAnsi="Times New Roman" w:cs="Times New Roman"/>
          <w:b/>
          <w:sz w:val="24"/>
          <w:szCs w:val="24"/>
        </w:rPr>
        <w:t>2560</w:t>
      </w:r>
      <w:r w:rsidR="007C15DF">
        <w:rPr>
          <w:rFonts w:ascii="Times New Roman" w:hAnsi="Times New Roman" w:cs="Times New Roman"/>
          <w:b/>
          <w:sz w:val="24"/>
          <w:szCs w:val="24"/>
        </w:rPr>
        <w:t xml:space="preserve"> евро.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15DF" w:rsidRPr="00522144" w:rsidRDefault="007C15DF" w:rsidP="007C15D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0A62" w:rsidRPr="00B01D3C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81A7C">
        <w:rPr>
          <w:rFonts w:ascii="Times New Roman" w:hAnsi="Times New Roman" w:cs="Times New Roman"/>
          <w:b/>
          <w:sz w:val="24"/>
          <w:szCs w:val="24"/>
        </w:rPr>
        <w:t>16975</w:t>
      </w:r>
      <w:r w:rsidR="007C15DF">
        <w:rPr>
          <w:rFonts w:ascii="Times New Roman" w:hAnsi="Times New Roman" w:cs="Times New Roman"/>
          <w:b/>
          <w:sz w:val="24"/>
          <w:szCs w:val="24"/>
        </w:rPr>
        <w:t xml:space="preserve"> евро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</w:t>
      </w:r>
      <w:r w:rsidR="001004EA">
        <w:rPr>
          <w:rFonts w:ascii="Times New Roman" w:hAnsi="Times New Roman" w:cs="Times New Roman"/>
          <w:sz w:val="24"/>
          <w:szCs w:val="24"/>
        </w:rPr>
        <w:t xml:space="preserve"> </w:t>
      </w:r>
      <w:r w:rsidR="00B01D3C">
        <w:rPr>
          <w:rFonts w:ascii="Times New Roman" w:hAnsi="Times New Roman" w:cs="Times New Roman"/>
          <w:sz w:val="24"/>
          <w:szCs w:val="24"/>
        </w:rPr>
        <w:t xml:space="preserve">по § 1020 </w:t>
      </w:r>
      <w:r w:rsidR="001004EA">
        <w:rPr>
          <w:rFonts w:ascii="Times New Roman" w:hAnsi="Times New Roman" w:cs="Times New Roman"/>
          <w:sz w:val="24"/>
          <w:szCs w:val="24"/>
        </w:rPr>
        <w:t>от получен</w:t>
      </w:r>
      <w:r w:rsidR="006A1821">
        <w:rPr>
          <w:rFonts w:ascii="Times New Roman" w:hAnsi="Times New Roman" w:cs="Times New Roman"/>
          <w:sz w:val="24"/>
          <w:szCs w:val="24"/>
        </w:rPr>
        <w:t xml:space="preserve"> трансфер</w:t>
      </w:r>
      <w:r w:rsidR="001004EA">
        <w:rPr>
          <w:rFonts w:ascii="Times New Roman" w:hAnsi="Times New Roman" w:cs="Times New Roman"/>
          <w:sz w:val="24"/>
          <w:szCs w:val="24"/>
        </w:rPr>
        <w:t xml:space="preserve"> за</w:t>
      </w:r>
      <w:r w:rsidR="00C2784A">
        <w:rPr>
          <w:rFonts w:ascii="Times New Roman" w:hAnsi="Times New Roman" w:cs="Times New Roman"/>
          <w:sz w:val="24"/>
          <w:szCs w:val="24"/>
        </w:rPr>
        <w:t xml:space="preserve"> компенсации по чл.283, ал. 2 от ЗПУО</w:t>
      </w:r>
      <w:r w:rsidR="006A1821">
        <w:rPr>
          <w:rFonts w:ascii="Times New Roman" w:hAnsi="Times New Roman" w:cs="Times New Roman"/>
          <w:sz w:val="24"/>
          <w:szCs w:val="24"/>
        </w:rPr>
        <w:t>.</w:t>
      </w:r>
    </w:p>
    <w:p w:rsidR="002B4428" w:rsidRP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4428">
        <w:rPr>
          <w:rFonts w:ascii="Times New Roman" w:hAnsi="Times New Roman" w:cs="Times New Roman"/>
          <w:b/>
          <w:sz w:val="24"/>
          <w:szCs w:val="24"/>
        </w:rPr>
        <w:t>ІV. Средства по проекти, финансирани от ЕС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026C" w:rsidRDefault="00BB7BA1" w:rsidP="00B5094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A81A7C">
        <w:rPr>
          <w:rFonts w:ascii="Times New Roman" w:hAnsi="Times New Roman" w:cs="Times New Roman"/>
          <w:sz w:val="24"/>
          <w:szCs w:val="24"/>
        </w:rPr>
        <w:t>0.06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7C15DF">
        <w:rPr>
          <w:rFonts w:ascii="Times New Roman" w:hAnsi="Times New Roman" w:cs="Times New Roman"/>
          <w:sz w:val="24"/>
          <w:szCs w:val="24"/>
        </w:rPr>
        <w:t>6</w:t>
      </w:r>
      <w:r w:rsidR="006A1821">
        <w:rPr>
          <w:rFonts w:ascii="Times New Roman" w:hAnsi="Times New Roman" w:cs="Times New Roman"/>
          <w:sz w:val="24"/>
          <w:szCs w:val="24"/>
        </w:rPr>
        <w:t xml:space="preserve">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са </w:t>
      </w:r>
      <w:r w:rsidR="00A81A7C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отчетени разходи към 30.06</w:t>
      </w:r>
      <w:r w:rsidR="007C15DF">
        <w:rPr>
          <w:rFonts w:ascii="Times New Roman" w:eastAsia="Times New Roman" w:hAnsi="Times New Roman" w:cs="Times New Roman"/>
          <w:sz w:val="24"/>
          <w:szCs w:val="24"/>
          <w:lang w:eastAsia="bg-BG"/>
        </w:rPr>
        <w:t>.2026</w:t>
      </w:r>
      <w:r w:rsidR="00A81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2B4428" w:rsidRDefault="002B4428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проект „Модернизация на ПОО“ е получен аванс в размер на </w:t>
      </w:r>
      <w:r w:rsidR="007C15DF">
        <w:rPr>
          <w:rFonts w:ascii="Times New Roman" w:eastAsia="Times New Roman" w:hAnsi="Times New Roman" w:cs="Times New Roman"/>
          <w:sz w:val="24"/>
          <w:szCs w:val="24"/>
          <w:lang w:eastAsia="bg-BG"/>
        </w:rPr>
        <w:t>1152 евро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отчетен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§ 9501 остатък по сметки от предходен период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чена група СЕС – КСФ и към 3</w:t>
      </w:r>
      <w:r w:rsidR="00A81A7C">
        <w:rPr>
          <w:rFonts w:ascii="Times New Roman" w:eastAsia="Times New Roman" w:hAnsi="Times New Roman" w:cs="Times New Roman"/>
          <w:sz w:val="24"/>
          <w:szCs w:val="24"/>
          <w:lang w:eastAsia="bg-BG"/>
        </w:rPr>
        <w:t>0.06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7C15D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няма отчетени разходи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C15DF" w:rsidRPr="00A81A7C" w:rsidRDefault="00642E43" w:rsidP="007C15D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„Изграждане на СТЕМ Център“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отчита в отчетна група СЕС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КСФ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81A7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30.06.2026 г. всички разходи по проекта са направени и верифицирани от УО, СТЕМ Центъра е открит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A81A7C" w:rsidRPr="007C15DF" w:rsidRDefault="00A81A7C" w:rsidP="007C15D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„Образователни маршрути в България“ се отчита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отчетна група СЕС – КСФ. Към 30.06.2026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получен трансфер по проекта по §§6301 в размер на 3175 евро. Отчетен е разход по §§1020 в размер на 3025 евро за ученическа екскурзия. </w:t>
      </w:r>
    </w:p>
    <w:p w:rsidR="006C346F" w:rsidRPr="00600DDD" w:rsidRDefault="006C346F" w:rsidP="007C15D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AF2" w:rsidRDefault="006C346F" w:rsidP="007C1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</w:t>
            </w:r>
            <w:r w:rsidR="00A8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0.06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7C1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  <w:r w:rsidR="007C1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/ще бъдат отразени след приемане на бюджет за 2026 година/</w:t>
            </w:r>
            <w:r w:rsidR="00100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DC16A6" w:rsidRPr="001004EA" w:rsidRDefault="00DC16A6" w:rsidP="004D0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A62" w:rsidRDefault="001E0A62" w:rsidP="007C15DF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76ADE" w:rsidRPr="00ED5876" w:rsidRDefault="007C15DF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 на директора</w:t>
            </w:r>
            <w:r w:rsidR="00906D34"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разпределяне на получено дарение от СК по джудо АЯКС</w:t>
            </w:r>
            <w:r w:rsidR="00906D34"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в държавна дейност 326</w:t>
            </w:r>
            <w:r w:rsidR="00906D34">
              <w:rPr>
                <w:sz w:val="24"/>
                <w:szCs w:val="24"/>
              </w:rPr>
              <w:t xml:space="preserve"> </w:t>
            </w:r>
            <w:r w:rsidR="00906D34"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във връзка със 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 xml:space="preserve">закупуване на облекло на ученици за НС </w:t>
            </w:r>
            <w:r w:rsidR="005B052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Млад фермер</w:t>
            </w:r>
            <w:r w:rsidR="005B052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06D34" w:rsidRPr="00906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05B" w:rsidRPr="00DC16A6" w:rsidRDefault="00D1605B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 за транспорт на ученици по ЗПУО в размер на </w:t>
            </w:r>
            <w:r w:rsidR="00576130">
              <w:rPr>
                <w:rFonts w:ascii="Times New Roman" w:hAnsi="Times New Roman" w:cs="Times New Roman"/>
                <w:sz w:val="24"/>
                <w:szCs w:val="24"/>
              </w:rPr>
              <w:t>24555</w:t>
            </w:r>
            <w:r w:rsidR="007C15DF">
              <w:rPr>
                <w:rFonts w:ascii="Times New Roman" w:hAnsi="Times New Roman" w:cs="Times New Roman"/>
                <w:sz w:val="24"/>
                <w:szCs w:val="24"/>
              </w:rPr>
              <w:t xml:space="preserve"> евро.</w:t>
            </w:r>
          </w:p>
          <w:p w:rsidR="005F5961" w:rsidRPr="00FB0039" w:rsidRDefault="005F5961" w:rsidP="007C15DF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Pr="00D1605B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</w:t>
            </w:r>
          </w:p>
          <w:p w:rsidR="00600DDD" w:rsidRPr="00D1605B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D1605B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  <w:p w:rsidR="00A9246B" w:rsidRPr="00D1605B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  <w:p w:rsidR="00A9246B" w:rsidRPr="00D1605B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EA74E2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B4EEC66A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64DF"/>
    <w:multiLevelType w:val="hybridMultilevel"/>
    <w:tmpl w:val="0BB4622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A76B09"/>
    <w:multiLevelType w:val="hybridMultilevel"/>
    <w:tmpl w:val="BD9CB494"/>
    <w:lvl w:ilvl="0" w:tplc="040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55CB1F73"/>
    <w:multiLevelType w:val="hybridMultilevel"/>
    <w:tmpl w:val="72663396"/>
    <w:lvl w:ilvl="0" w:tplc="D6AC418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23AE7"/>
    <w:multiLevelType w:val="hybridMultilevel"/>
    <w:tmpl w:val="AC0E07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109A7"/>
    <w:multiLevelType w:val="hybridMultilevel"/>
    <w:tmpl w:val="4FB40DFE"/>
    <w:lvl w:ilvl="0" w:tplc="70AA8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7C282A"/>
    <w:multiLevelType w:val="hybridMultilevel"/>
    <w:tmpl w:val="1D720A1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11"/>
  </w:num>
  <w:num w:numId="9">
    <w:abstractNumId w:val="13"/>
  </w:num>
  <w:num w:numId="10">
    <w:abstractNumId w:val="0"/>
  </w:num>
  <w:num w:numId="11">
    <w:abstractNumId w:val="5"/>
  </w:num>
  <w:num w:numId="12">
    <w:abstractNumId w:val="15"/>
  </w:num>
  <w:num w:numId="13">
    <w:abstractNumId w:val="14"/>
  </w:num>
  <w:num w:numId="14">
    <w:abstractNumId w:val="9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110B4"/>
    <w:rsid w:val="00013C95"/>
    <w:rsid w:val="000261C5"/>
    <w:rsid w:val="00026BB8"/>
    <w:rsid w:val="00036408"/>
    <w:rsid w:val="00042CD2"/>
    <w:rsid w:val="000444C9"/>
    <w:rsid w:val="00045ABF"/>
    <w:rsid w:val="00053716"/>
    <w:rsid w:val="00056BDD"/>
    <w:rsid w:val="00056DC8"/>
    <w:rsid w:val="0007750C"/>
    <w:rsid w:val="00080BB8"/>
    <w:rsid w:val="000937CA"/>
    <w:rsid w:val="0009742E"/>
    <w:rsid w:val="000B2847"/>
    <w:rsid w:val="000B434E"/>
    <w:rsid w:val="000C1E78"/>
    <w:rsid w:val="000C40AD"/>
    <w:rsid w:val="000C410F"/>
    <w:rsid w:val="000C6A77"/>
    <w:rsid w:val="000C6B65"/>
    <w:rsid w:val="000D76BD"/>
    <w:rsid w:val="000E28A8"/>
    <w:rsid w:val="000E34BF"/>
    <w:rsid w:val="000E3BD8"/>
    <w:rsid w:val="000E3F6B"/>
    <w:rsid w:val="000E471F"/>
    <w:rsid w:val="000E5010"/>
    <w:rsid w:val="000F05F8"/>
    <w:rsid w:val="000F3E7B"/>
    <w:rsid w:val="001004EA"/>
    <w:rsid w:val="00102DCD"/>
    <w:rsid w:val="0010375D"/>
    <w:rsid w:val="00107872"/>
    <w:rsid w:val="001224AA"/>
    <w:rsid w:val="00124F18"/>
    <w:rsid w:val="00131008"/>
    <w:rsid w:val="00142347"/>
    <w:rsid w:val="0015411A"/>
    <w:rsid w:val="00183DF6"/>
    <w:rsid w:val="00194B82"/>
    <w:rsid w:val="001A7589"/>
    <w:rsid w:val="001B2F7B"/>
    <w:rsid w:val="001E0A62"/>
    <w:rsid w:val="001E7FE3"/>
    <w:rsid w:val="00204575"/>
    <w:rsid w:val="00212D61"/>
    <w:rsid w:val="002323B3"/>
    <w:rsid w:val="002362D0"/>
    <w:rsid w:val="0025725C"/>
    <w:rsid w:val="002607C0"/>
    <w:rsid w:val="00263874"/>
    <w:rsid w:val="00276DCF"/>
    <w:rsid w:val="00277CFF"/>
    <w:rsid w:val="002B4428"/>
    <w:rsid w:val="002C26CC"/>
    <w:rsid w:val="002D0A6F"/>
    <w:rsid w:val="002E7004"/>
    <w:rsid w:val="002E761D"/>
    <w:rsid w:val="002F0AA7"/>
    <w:rsid w:val="002F35FB"/>
    <w:rsid w:val="00303345"/>
    <w:rsid w:val="0031295E"/>
    <w:rsid w:val="00313811"/>
    <w:rsid w:val="00316E76"/>
    <w:rsid w:val="003174DB"/>
    <w:rsid w:val="0033165E"/>
    <w:rsid w:val="00336059"/>
    <w:rsid w:val="00337CDC"/>
    <w:rsid w:val="0035440B"/>
    <w:rsid w:val="00354C24"/>
    <w:rsid w:val="0037430B"/>
    <w:rsid w:val="003764A0"/>
    <w:rsid w:val="00380405"/>
    <w:rsid w:val="0038292B"/>
    <w:rsid w:val="00382B87"/>
    <w:rsid w:val="003842D2"/>
    <w:rsid w:val="003A400D"/>
    <w:rsid w:val="003A4756"/>
    <w:rsid w:val="003D7F27"/>
    <w:rsid w:val="003E6F12"/>
    <w:rsid w:val="003F3773"/>
    <w:rsid w:val="004169F8"/>
    <w:rsid w:val="00422636"/>
    <w:rsid w:val="004338D8"/>
    <w:rsid w:val="00437ABF"/>
    <w:rsid w:val="00445894"/>
    <w:rsid w:val="004501EE"/>
    <w:rsid w:val="004643AB"/>
    <w:rsid w:val="004771DD"/>
    <w:rsid w:val="00480B97"/>
    <w:rsid w:val="00485617"/>
    <w:rsid w:val="00492E90"/>
    <w:rsid w:val="004A7B1C"/>
    <w:rsid w:val="004B1256"/>
    <w:rsid w:val="004B28F6"/>
    <w:rsid w:val="004B3818"/>
    <w:rsid w:val="004B6AE5"/>
    <w:rsid w:val="004C1E21"/>
    <w:rsid w:val="004D0B6B"/>
    <w:rsid w:val="004D1277"/>
    <w:rsid w:val="004E42EA"/>
    <w:rsid w:val="004E7CEF"/>
    <w:rsid w:val="004F6776"/>
    <w:rsid w:val="00500A9F"/>
    <w:rsid w:val="00501FEA"/>
    <w:rsid w:val="00506BB8"/>
    <w:rsid w:val="005077C4"/>
    <w:rsid w:val="005106D5"/>
    <w:rsid w:val="00514B1E"/>
    <w:rsid w:val="00522144"/>
    <w:rsid w:val="00530F69"/>
    <w:rsid w:val="00531B0E"/>
    <w:rsid w:val="00531CF0"/>
    <w:rsid w:val="005436E9"/>
    <w:rsid w:val="0055625F"/>
    <w:rsid w:val="005612F4"/>
    <w:rsid w:val="00567A9F"/>
    <w:rsid w:val="00576130"/>
    <w:rsid w:val="00583F2A"/>
    <w:rsid w:val="00584B23"/>
    <w:rsid w:val="005B0527"/>
    <w:rsid w:val="005D2123"/>
    <w:rsid w:val="005E0D3A"/>
    <w:rsid w:val="005F4827"/>
    <w:rsid w:val="005F574D"/>
    <w:rsid w:val="005F5961"/>
    <w:rsid w:val="00600DDD"/>
    <w:rsid w:val="006137F0"/>
    <w:rsid w:val="0062418E"/>
    <w:rsid w:val="00635F12"/>
    <w:rsid w:val="00642E43"/>
    <w:rsid w:val="00654772"/>
    <w:rsid w:val="00656509"/>
    <w:rsid w:val="006745A1"/>
    <w:rsid w:val="00676ADE"/>
    <w:rsid w:val="0067766D"/>
    <w:rsid w:val="006811DE"/>
    <w:rsid w:val="006841F2"/>
    <w:rsid w:val="00691A8C"/>
    <w:rsid w:val="006A1821"/>
    <w:rsid w:val="006A5239"/>
    <w:rsid w:val="006C04A9"/>
    <w:rsid w:val="006C346F"/>
    <w:rsid w:val="006D6BB6"/>
    <w:rsid w:val="006D7139"/>
    <w:rsid w:val="006E0EA4"/>
    <w:rsid w:val="006E69D2"/>
    <w:rsid w:val="00700EEF"/>
    <w:rsid w:val="00712D23"/>
    <w:rsid w:val="00714064"/>
    <w:rsid w:val="0072288C"/>
    <w:rsid w:val="00743D29"/>
    <w:rsid w:val="007578E5"/>
    <w:rsid w:val="00762F9B"/>
    <w:rsid w:val="00766E91"/>
    <w:rsid w:val="00786290"/>
    <w:rsid w:val="00787E0D"/>
    <w:rsid w:val="00791A5A"/>
    <w:rsid w:val="007A62E7"/>
    <w:rsid w:val="007C026C"/>
    <w:rsid w:val="007C15DF"/>
    <w:rsid w:val="007C3EBC"/>
    <w:rsid w:val="007C4458"/>
    <w:rsid w:val="007C4F1F"/>
    <w:rsid w:val="007D361A"/>
    <w:rsid w:val="007D6AF2"/>
    <w:rsid w:val="007E3F0C"/>
    <w:rsid w:val="007E6037"/>
    <w:rsid w:val="007F75F0"/>
    <w:rsid w:val="007F770D"/>
    <w:rsid w:val="00803E1A"/>
    <w:rsid w:val="008048DA"/>
    <w:rsid w:val="00805C6E"/>
    <w:rsid w:val="00815190"/>
    <w:rsid w:val="008368CD"/>
    <w:rsid w:val="0085367F"/>
    <w:rsid w:val="0086601D"/>
    <w:rsid w:val="008666C9"/>
    <w:rsid w:val="00873979"/>
    <w:rsid w:val="00883F1F"/>
    <w:rsid w:val="008873C9"/>
    <w:rsid w:val="008A145A"/>
    <w:rsid w:val="008A50AF"/>
    <w:rsid w:val="008B170C"/>
    <w:rsid w:val="008B1ED2"/>
    <w:rsid w:val="008B6568"/>
    <w:rsid w:val="008B65E7"/>
    <w:rsid w:val="008D1F8B"/>
    <w:rsid w:val="008F13AD"/>
    <w:rsid w:val="008F4A55"/>
    <w:rsid w:val="00906D34"/>
    <w:rsid w:val="00907204"/>
    <w:rsid w:val="00913CF6"/>
    <w:rsid w:val="00935D15"/>
    <w:rsid w:val="00951033"/>
    <w:rsid w:val="00951F01"/>
    <w:rsid w:val="00975CB5"/>
    <w:rsid w:val="00985423"/>
    <w:rsid w:val="009A52D0"/>
    <w:rsid w:val="009C0496"/>
    <w:rsid w:val="009C6799"/>
    <w:rsid w:val="009F4E9F"/>
    <w:rsid w:val="009F507B"/>
    <w:rsid w:val="009F5452"/>
    <w:rsid w:val="009F56A3"/>
    <w:rsid w:val="00A066D5"/>
    <w:rsid w:val="00A15CCB"/>
    <w:rsid w:val="00A2257E"/>
    <w:rsid w:val="00A26DD0"/>
    <w:rsid w:val="00A26E08"/>
    <w:rsid w:val="00A31264"/>
    <w:rsid w:val="00A33F82"/>
    <w:rsid w:val="00A53B22"/>
    <w:rsid w:val="00A6327F"/>
    <w:rsid w:val="00A64303"/>
    <w:rsid w:val="00A81A7C"/>
    <w:rsid w:val="00A87071"/>
    <w:rsid w:val="00A90093"/>
    <w:rsid w:val="00A9246B"/>
    <w:rsid w:val="00AF7BF8"/>
    <w:rsid w:val="00B009A2"/>
    <w:rsid w:val="00B01D3C"/>
    <w:rsid w:val="00B07C88"/>
    <w:rsid w:val="00B14750"/>
    <w:rsid w:val="00B15288"/>
    <w:rsid w:val="00B16936"/>
    <w:rsid w:val="00B32E40"/>
    <w:rsid w:val="00B34BC0"/>
    <w:rsid w:val="00B367A9"/>
    <w:rsid w:val="00B42D3B"/>
    <w:rsid w:val="00B50947"/>
    <w:rsid w:val="00B50DDD"/>
    <w:rsid w:val="00B575F5"/>
    <w:rsid w:val="00B716C9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4AD2"/>
    <w:rsid w:val="00C2784A"/>
    <w:rsid w:val="00C27F68"/>
    <w:rsid w:val="00C57989"/>
    <w:rsid w:val="00C664F0"/>
    <w:rsid w:val="00CB14D5"/>
    <w:rsid w:val="00CB2E79"/>
    <w:rsid w:val="00CB3250"/>
    <w:rsid w:val="00CC167B"/>
    <w:rsid w:val="00CC2E59"/>
    <w:rsid w:val="00CD7B00"/>
    <w:rsid w:val="00CE2841"/>
    <w:rsid w:val="00D02F70"/>
    <w:rsid w:val="00D1605B"/>
    <w:rsid w:val="00D3660B"/>
    <w:rsid w:val="00D44421"/>
    <w:rsid w:val="00D51348"/>
    <w:rsid w:val="00D63F9F"/>
    <w:rsid w:val="00D767A8"/>
    <w:rsid w:val="00D86F06"/>
    <w:rsid w:val="00D91251"/>
    <w:rsid w:val="00D93B2C"/>
    <w:rsid w:val="00DA2902"/>
    <w:rsid w:val="00DB3303"/>
    <w:rsid w:val="00DC16A6"/>
    <w:rsid w:val="00DC3CA7"/>
    <w:rsid w:val="00DC478B"/>
    <w:rsid w:val="00DD2771"/>
    <w:rsid w:val="00DE01ED"/>
    <w:rsid w:val="00DF48F3"/>
    <w:rsid w:val="00E132F7"/>
    <w:rsid w:val="00E20B19"/>
    <w:rsid w:val="00E23BFD"/>
    <w:rsid w:val="00E2728A"/>
    <w:rsid w:val="00E30D11"/>
    <w:rsid w:val="00E37BD9"/>
    <w:rsid w:val="00E53F2D"/>
    <w:rsid w:val="00E74401"/>
    <w:rsid w:val="00E8776C"/>
    <w:rsid w:val="00E927F3"/>
    <w:rsid w:val="00E96575"/>
    <w:rsid w:val="00EA3EE2"/>
    <w:rsid w:val="00EA76F2"/>
    <w:rsid w:val="00EC0F2E"/>
    <w:rsid w:val="00ED0C5B"/>
    <w:rsid w:val="00ED5876"/>
    <w:rsid w:val="00EE16E1"/>
    <w:rsid w:val="00F25702"/>
    <w:rsid w:val="00F25E4F"/>
    <w:rsid w:val="00F37DAE"/>
    <w:rsid w:val="00F4476E"/>
    <w:rsid w:val="00F5258F"/>
    <w:rsid w:val="00F7136B"/>
    <w:rsid w:val="00F72FDC"/>
    <w:rsid w:val="00F8541E"/>
    <w:rsid w:val="00F950F2"/>
    <w:rsid w:val="00FB0039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583A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20365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165</cp:revision>
  <cp:lastPrinted>2024-07-11T12:40:00Z</cp:lastPrinted>
  <dcterms:created xsi:type="dcterms:W3CDTF">2020-01-10T07:18:00Z</dcterms:created>
  <dcterms:modified xsi:type="dcterms:W3CDTF">2026-07-12T21:36:00Z</dcterms:modified>
</cp:coreProperties>
</file>